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rPr>
          <w:rFonts w:hint="eastAsia" w:ascii="微软雅黑" w:hAnsi="微软雅黑" w:eastAsia="微软雅黑" w:cs="Times New Roman"/>
          <w:b/>
          <w:kern w:val="0"/>
          <w:szCs w:val="21"/>
        </w:rPr>
        <w:t>封面：</w:t>
      </w:r>
    </w:p>
    <w:p>
      <w:pPr>
        <w:rPr>
          <w:rFonts w:ascii="微软雅黑" w:hAnsi="微软雅黑" w:eastAsia="微软雅黑" w:cs="Times New Roman"/>
          <w:b/>
          <w:kern w:val="0"/>
          <w:szCs w:val="21"/>
        </w:rPr>
      </w:pPr>
      <w:r>
        <w:drawing>
          <wp:inline distT="0" distB="0" distL="0" distR="0">
            <wp:extent cx="5274310" cy="74606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  <w:r>
        <w:drawing>
          <wp:inline distT="0" distB="0" distL="0" distR="0">
            <wp:extent cx="5273675" cy="621538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5231" cy="622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28"/>
          <w:szCs w:val="28"/>
          <w:lang w:bidi="ar"/>
        </w:rPr>
      </w:pP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电脑端看课流程：</w:t>
      </w:r>
    </w:p>
    <w:p>
      <w:pPr>
        <w:widowControl/>
        <w:rPr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</w:pP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登录</w:t>
      </w:r>
      <w:r>
        <w:fldChar w:fldCharType="begin"/>
      </w:r>
      <w:r>
        <w:instrText xml:space="preserve"> HYPERLINK "http://www.jinyingjie.com" </w:instrText>
      </w:r>
      <w:r>
        <w:fldChar w:fldCharType="separate"/>
      </w:r>
      <w:r>
        <w:rPr>
          <w:rStyle w:val="9"/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www</w:t>
      </w:r>
      <w:r>
        <w:rPr>
          <w:rStyle w:val="9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.jinyingjie.com</w:t>
      </w:r>
      <w:r>
        <w:rPr>
          <w:rStyle w:val="9"/>
          <w:rFonts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fldChar w:fldCharType="end"/>
      </w:r>
      <w:r>
        <w:rPr>
          <w:rFonts w:hint="eastAsia" w:ascii="宋体" w:hAnsi="宋体" w:eastAsia="宋体" w:cs="微软雅黑"/>
          <w:b/>
          <w:color w:val="7030A0"/>
          <w:kern w:val="0"/>
          <w:sz w:val="30"/>
          <w:szCs w:val="30"/>
          <w:lang w:bidi="ar"/>
        </w:rPr>
        <w:t>,登录账号和密码，然后进入直播学院端，在“我的课程”里面观看</w:t>
      </w: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jc w:val="center"/>
        <w:rPr>
          <w:rFonts w:ascii="微软雅黑" w:hAnsi="微软雅黑" w:eastAsia="微软雅黑" w:cs="微软雅黑"/>
          <w:b/>
          <w:kern w:val="0"/>
          <w:sz w:val="52"/>
          <w:szCs w:val="52"/>
        </w:rPr>
      </w:pPr>
    </w:p>
    <w:p>
      <w:pPr>
        <w:jc w:val="center"/>
        <w:rPr>
          <w:rFonts w:ascii="微软雅黑" w:hAnsi="微软雅黑" w:eastAsia="微软雅黑" w:cs="微软雅黑"/>
          <w:b/>
          <w:kern w:val="0"/>
          <w:sz w:val="52"/>
          <w:szCs w:val="52"/>
        </w:rPr>
      </w:pP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kern w:val="0"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>金英杰直播学院</w:t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br w:type="textWrapping"/>
      </w:r>
      <w:r>
        <w:rPr>
          <w:rFonts w:hint="eastAsia" w:ascii="华文仿宋" w:hAnsi="华文仿宋" w:eastAsia="华文仿宋" w:cs="微软雅黑"/>
          <w:b/>
          <w:kern w:val="0"/>
          <w:sz w:val="48"/>
          <w:szCs w:val="48"/>
        </w:rPr>
        <w:t xml:space="preserve">乡村全科 </w:t>
      </w:r>
    </w:p>
    <w:p>
      <w:pPr>
        <w:spacing w:line="480" w:lineRule="auto"/>
        <w:jc w:val="center"/>
        <w:rPr>
          <w:rFonts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公卫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笔记</w:t>
      </w:r>
    </w:p>
    <w:p>
      <w:pPr>
        <w:spacing w:line="480" w:lineRule="auto"/>
        <w:jc w:val="center"/>
        <w:rPr>
          <w:rFonts w:hint="eastAsia" w:ascii="华文仿宋" w:hAnsi="华文仿宋" w:eastAsia="华文仿宋" w:cs="微软雅黑"/>
          <w:b/>
          <w:bCs/>
          <w:sz w:val="48"/>
          <w:szCs w:val="48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2</w:t>
      </w:r>
      <w:r>
        <w:rPr>
          <w:rFonts w:ascii="华文仿宋" w:hAnsi="华文仿宋" w:eastAsia="华文仿宋" w:cs="微软雅黑"/>
          <w:b/>
          <w:bCs/>
          <w:sz w:val="48"/>
          <w:szCs w:val="48"/>
        </w:rPr>
        <w:t>019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年1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月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21</w:t>
      </w:r>
      <w:r>
        <w:rPr>
          <w:rFonts w:hint="eastAsia" w:ascii="华文仿宋" w:hAnsi="华文仿宋" w:eastAsia="华文仿宋" w:cs="微软雅黑"/>
          <w:b/>
          <w:bCs/>
          <w:sz w:val="48"/>
          <w:szCs w:val="48"/>
        </w:rPr>
        <w:t>日</w:t>
      </w:r>
    </w:p>
    <w:p>
      <w:pPr>
        <w:spacing w:line="480" w:lineRule="auto"/>
        <w:jc w:val="center"/>
        <w:rPr>
          <w:rFonts w:hint="default" w:ascii="华文仿宋" w:hAnsi="华文仿宋" w:eastAsia="华文仿宋" w:cs="微软雅黑"/>
          <w:b/>
          <w:bCs/>
          <w:sz w:val="48"/>
          <w:szCs w:val="48"/>
          <w:lang w:val="en-US" w:eastAsia="zh-CN"/>
        </w:rPr>
      </w:pPr>
      <w:r>
        <w:rPr>
          <w:rFonts w:hint="eastAsia" w:ascii="华文仿宋" w:hAnsi="华文仿宋" w:eastAsia="华文仿宋" w:cs="微软雅黑"/>
          <w:b/>
          <w:bCs/>
          <w:sz w:val="48"/>
          <w:szCs w:val="48"/>
          <w:lang w:val="en-US" w:eastAsia="zh-CN"/>
        </w:rPr>
        <w:t>荞麦老师整理</w:t>
      </w:r>
    </w:p>
    <w:p>
      <w:pPr>
        <w:spacing w:line="360" w:lineRule="auto"/>
        <w:jc w:val="center"/>
        <w:rPr>
          <w:rFonts w:ascii="微软雅黑" w:hAnsi="微软雅黑" w:eastAsia="微软雅黑" w:cs="微软雅黑"/>
          <w:b/>
          <w:bCs/>
          <w:sz w:val="48"/>
          <w:szCs w:val="48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</w:p>
    <w:p>
      <w:pPr>
        <w:widowControl/>
        <w:numPr>
          <w:ilvl w:val="0"/>
          <w:numId w:val="0"/>
        </w:numPr>
        <w:jc w:val="both"/>
        <w:rPr>
          <w:rFonts w:hint="eastAsia"/>
          <w:color w:val="FF0000"/>
          <w:sz w:val="44"/>
          <w:szCs w:val="44"/>
          <w:highlight w:val="none"/>
        </w:rPr>
      </w:pPr>
    </w:p>
    <w:p>
      <w:pPr>
        <w:widowControl/>
        <w:numPr>
          <w:ilvl w:val="0"/>
          <w:numId w:val="0"/>
        </w:numPr>
        <w:jc w:val="both"/>
        <w:rPr>
          <w:rFonts w:hint="eastAsia"/>
          <w:color w:val="FF0000"/>
          <w:sz w:val="44"/>
          <w:szCs w:val="44"/>
          <w:highlight w:val="none"/>
        </w:rPr>
      </w:pPr>
      <w:r>
        <w:rPr>
          <w:rFonts w:hint="eastAsia"/>
          <w:color w:val="FF0000"/>
          <w:sz w:val="44"/>
          <w:szCs w:val="44"/>
          <w:highlight w:val="black"/>
          <w:lang w:val="en-US" w:eastAsia="zh-CN"/>
        </w:rPr>
        <w:t>考点：</w:t>
      </w:r>
      <w:r>
        <w:rPr>
          <w:rFonts w:hint="eastAsia"/>
          <w:color w:val="FF0000"/>
          <w:sz w:val="44"/>
          <w:szCs w:val="44"/>
          <w:highlight w:val="black"/>
        </w:rPr>
        <w:t>疾病的三间分布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疾病的分布影响因素:不同地区、不同时间、不同人群的频率与分布的现象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  <w:highlight w:val="none"/>
        </w:rPr>
        <w:t>记忆口诀：天时、地利、人和</w:t>
      </w:r>
    </w:p>
    <w:p>
      <w:pPr>
        <w:widowControl/>
        <w:numPr>
          <w:ilvl w:val="0"/>
          <w:numId w:val="0"/>
        </w:numPr>
        <w:jc w:val="both"/>
        <w:rPr>
          <w:rFonts w:hint="eastAsia"/>
          <w:color w:val="FF0000"/>
          <w:sz w:val="44"/>
          <w:szCs w:val="44"/>
          <w:highlight w:val="black"/>
        </w:rPr>
      </w:pPr>
      <w:r>
        <w:rPr>
          <w:rFonts w:hint="eastAsia"/>
          <w:color w:val="FF0000"/>
          <w:sz w:val="44"/>
          <w:szCs w:val="44"/>
          <w:highlight w:val="black"/>
          <w:lang w:val="en-US" w:eastAsia="zh-CN"/>
        </w:rPr>
        <w:t>考点：</w:t>
      </w:r>
      <w:r>
        <w:rPr>
          <w:rFonts w:hint="eastAsia"/>
          <w:color w:val="FF0000"/>
          <w:sz w:val="44"/>
          <w:szCs w:val="44"/>
          <w:highlight w:val="black"/>
        </w:rPr>
        <w:t>服务对象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辖区内常住居民（居住半年以上的户籍及非户籍居民）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重点人群：0～6岁儿童、孕产妇、老年人、慢性病患者、严重精神障碍患者、肺结核患者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highlight w:val="none"/>
        </w:rPr>
        <w:t>记忆口诀：老幼病重孕及肺结核的患者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black"/>
          <w:lang w:val="en-US" w:eastAsia="zh-CN"/>
        </w:rPr>
        <w:t>考点：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black"/>
        </w:rPr>
        <w:t>居民健康档案的内容、建立、使用、终止和保存服务内容</w:t>
      </w: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highlight w:val="none"/>
        </w:rPr>
        <w:t>　　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（一）居民健康档案的内容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　　1.个人基本信息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　　2.健康体检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　　3.重点人群健康管理记录</w:t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　　4.其他医疗卫生服务记录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color w:val="FF0000"/>
          <w:sz w:val="30"/>
          <w:szCs w:val="30"/>
          <w:highlight w:val="none"/>
        </w:rPr>
        <w:t>　　个人基本信息表：姓名、性别等基础信息，既往史、家族史等基本健康信息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/>
          <w:color w:val="0070C0"/>
          <w:sz w:val="44"/>
          <w:szCs w:val="44"/>
          <w:highlight w:val="black"/>
        </w:rPr>
      </w:pP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一般状况栏中“体质指数（BMI）”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体质指数=体重（kg）/身高的平方（m2）；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中国成年人的正常值范围为18.5≤BMI＜24.0；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小于18.5——偏瘦；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24.0～27.9——偏胖；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28.0～31.9——肥胖；</w:t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br w:type="textWrapping"/>
      </w:r>
      <w:r>
        <w:rPr>
          <w:rFonts w:hint="eastAsia" w:ascii="微软雅黑" w:hAnsi="微软雅黑" w:eastAsia="微软雅黑" w:cs="微软雅黑"/>
          <w:color w:val="0070C0"/>
          <w:sz w:val="30"/>
          <w:szCs w:val="30"/>
          <w:highlight w:val="none"/>
        </w:rPr>
        <w:t>　　大于32——重度肥胖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高血压的健康教育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　　1.高血压健康教育的内容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　　（1）控制体重：超重与肥胖是高血压病的一个重要独立危险因素。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 xml:space="preserve">    BMI 在18.5～23.9kg/m2范围者为正常体重。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　　≥24kg/m2者为超重；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　　≥28kg/m2者为肥胖；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　　男性腰围≥85cm、女性≥80cm也为危险因素</w:t>
      </w:r>
    </w:p>
    <w:p>
      <w:pPr>
        <w:widowControl/>
        <w:numPr>
          <w:ilvl w:val="0"/>
          <w:numId w:val="0"/>
        </w:numPr>
        <w:jc w:val="both"/>
        <w:rPr>
          <w:rFonts w:hint="eastAsia"/>
          <w:color w:val="FF0000"/>
          <w:sz w:val="44"/>
          <w:szCs w:val="44"/>
          <w:highlight w:val="black"/>
        </w:rPr>
      </w:pPr>
      <w:r>
        <w:rPr>
          <w:rFonts w:hint="eastAsia"/>
          <w:color w:val="FF0000"/>
          <w:sz w:val="44"/>
          <w:szCs w:val="44"/>
          <w:highlight w:val="black"/>
          <w:lang w:val="en-US" w:eastAsia="zh-CN"/>
        </w:rPr>
        <w:t>考点：</w:t>
      </w:r>
      <w:r>
        <w:rPr>
          <w:rFonts w:hint="eastAsia"/>
          <w:color w:val="FF0000"/>
          <w:sz w:val="44"/>
          <w:szCs w:val="44"/>
          <w:highlight w:val="black"/>
        </w:rPr>
        <w:t>小儿年龄分期及各期特点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分为胎儿期、新生儿期、婴儿期、幼儿期、学龄前期、学龄期、青春期7个阶段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胎儿期：从受精卵形成到胎儿娩出前，40周</w:t>
      </w:r>
    </w:p>
    <w:p>
      <w:pPr>
        <w:widowControl/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新生儿期：自胎儿娩出至生后28天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婴儿期：是生长发育极其旺盛的阶段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幼儿期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自1岁至满3周岁为幼儿期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学龄前期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自满3周岁至6～7岁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学龄期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自6～7岁至青春期前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青春期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t>：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t>女孩从10～12岁开始到17～18岁，男孩从13～14岁开始至18～20岁结束，开始与结束年龄可相差2～4岁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。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　　  体格生长再次加速，出现第2高峰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  <w:lang w:val="en-US" w:eastAsia="zh-CN"/>
        </w:rPr>
        <w:t>考点：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</w:rPr>
        <w:t>儿童体重的简单估算公式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</w:rPr>
        <w:t>2岁至青春前期儿童体重（kg）＝年龄（岁）×2＋7（或8）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drawing>
          <wp:inline distT="0" distB="0" distL="114300" distR="114300">
            <wp:extent cx="4984750" cy="2743835"/>
            <wp:effectExtent l="0" t="0" r="6350" b="12065"/>
            <wp:docPr id="6" name="图片 6" descr="157440419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574404195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4750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none"/>
          <w:lang w:eastAsia="zh-CN"/>
        </w:rPr>
        <w:t>胸围    出生时，胸围小于头围，1岁左右胸围约等于头围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  <w:lang w:eastAsia="zh-CN"/>
        </w:rPr>
      </w:pP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  <w:lang w:val="en-US" w:eastAsia="zh-CN"/>
        </w:rPr>
        <w:t>考点：</w:t>
      </w:r>
      <w:r>
        <w:rPr>
          <w:rFonts w:hint="eastAsia" w:ascii="微软雅黑" w:hAnsi="微软雅黑" w:eastAsia="微软雅黑" w:cs="微软雅黑"/>
          <w:color w:val="FF0000"/>
          <w:sz w:val="30"/>
          <w:szCs w:val="30"/>
          <w:highlight w:val="black"/>
          <w:lang w:eastAsia="zh-CN"/>
        </w:rPr>
        <w:t>婴幼儿健康管理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满月后婴幼儿健康管理均应在乡镇卫生院进行，偏远地区可在村卫生室进行，时间分别在3、6、8、12、18、24、30、36月龄时，共8次。</w:t>
      </w:r>
    </w:p>
    <w:p>
      <w:pPr>
        <w:widowControl/>
        <w:numPr>
          <w:ilvl w:val="0"/>
          <w:numId w:val="0"/>
        </w:numPr>
        <w:ind w:firstLine="420"/>
        <w:jc w:val="both"/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每次健康检查时间不应少于5~10分钟 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　　血常规检测——6~8、18、30月龄时分别进行1次 </w:t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微软雅黑" w:hAnsi="微软雅黑" w:eastAsia="微软雅黑" w:cs="微软雅黑"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t>　　听力筛查——6、12、24、36月龄时分别进行1次</w:t>
      </w:r>
      <w:bookmarkStart w:id="0" w:name="_GoBack"/>
      <w:bookmarkEnd w:id="0"/>
    </w:p>
    <w:p>
      <w:pPr>
        <w:widowControl/>
        <w:jc w:val="center"/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</w:pPr>
      <w:r>
        <w:rPr>
          <w:rFonts w:ascii="微软雅黑" w:hAnsi="微软雅黑" w:eastAsia="微软雅黑" w:cs="微软雅黑"/>
          <w:bCs/>
          <w:color w:val="FF0000"/>
          <w:kern w:val="0"/>
          <w:szCs w:val="21"/>
          <w:lang w:bidi="ar"/>
        </w:rPr>
        <w:drawing>
          <wp:inline distT="0" distB="0" distL="0" distR="0">
            <wp:extent cx="5274310" cy="8154035"/>
            <wp:effectExtent l="0" t="0" r="8890" b="1206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5218" cy="815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64892" o:spid="_x0000_s3073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98"/>
    <w:rsid w:val="000234AB"/>
    <w:rsid w:val="000261E0"/>
    <w:rsid w:val="00031885"/>
    <w:rsid w:val="00073C5F"/>
    <w:rsid w:val="000776A4"/>
    <w:rsid w:val="000A5D69"/>
    <w:rsid w:val="000A6634"/>
    <w:rsid w:val="000B09B5"/>
    <w:rsid w:val="000C4189"/>
    <w:rsid w:val="000E6346"/>
    <w:rsid w:val="000E7F46"/>
    <w:rsid w:val="000F74D6"/>
    <w:rsid w:val="0012525B"/>
    <w:rsid w:val="001504B5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2D75A9"/>
    <w:rsid w:val="0030366C"/>
    <w:rsid w:val="00315C2A"/>
    <w:rsid w:val="0037065B"/>
    <w:rsid w:val="00370AF5"/>
    <w:rsid w:val="00394F2F"/>
    <w:rsid w:val="003C5E8E"/>
    <w:rsid w:val="003D5EDA"/>
    <w:rsid w:val="003F6265"/>
    <w:rsid w:val="004039A1"/>
    <w:rsid w:val="00423EC5"/>
    <w:rsid w:val="00443B68"/>
    <w:rsid w:val="0049524B"/>
    <w:rsid w:val="004A7CBC"/>
    <w:rsid w:val="004F7008"/>
    <w:rsid w:val="00507D2C"/>
    <w:rsid w:val="00513986"/>
    <w:rsid w:val="005317E0"/>
    <w:rsid w:val="00537B43"/>
    <w:rsid w:val="005519B0"/>
    <w:rsid w:val="005747AC"/>
    <w:rsid w:val="00594B66"/>
    <w:rsid w:val="005F7AAD"/>
    <w:rsid w:val="00653697"/>
    <w:rsid w:val="00670D25"/>
    <w:rsid w:val="00683F2B"/>
    <w:rsid w:val="006903E7"/>
    <w:rsid w:val="006E40FF"/>
    <w:rsid w:val="006E4611"/>
    <w:rsid w:val="00762FC6"/>
    <w:rsid w:val="0077570B"/>
    <w:rsid w:val="00776E9C"/>
    <w:rsid w:val="007A1E5C"/>
    <w:rsid w:val="007B6B11"/>
    <w:rsid w:val="007D47AA"/>
    <w:rsid w:val="007E28CE"/>
    <w:rsid w:val="0082660B"/>
    <w:rsid w:val="0089108A"/>
    <w:rsid w:val="008946FC"/>
    <w:rsid w:val="008A64AB"/>
    <w:rsid w:val="008B06E8"/>
    <w:rsid w:val="008D63E2"/>
    <w:rsid w:val="008E3B07"/>
    <w:rsid w:val="008F2991"/>
    <w:rsid w:val="00903CB9"/>
    <w:rsid w:val="009A5026"/>
    <w:rsid w:val="009A7D5F"/>
    <w:rsid w:val="009B0BEA"/>
    <w:rsid w:val="00A21E12"/>
    <w:rsid w:val="00A81966"/>
    <w:rsid w:val="00B25974"/>
    <w:rsid w:val="00B461D1"/>
    <w:rsid w:val="00B60A88"/>
    <w:rsid w:val="00B97678"/>
    <w:rsid w:val="00BD4E1E"/>
    <w:rsid w:val="00C229B7"/>
    <w:rsid w:val="00CE50A9"/>
    <w:rsid w:val="00D07DC1"/>
    <w:rsid w:val="00D13D20"/>
    <w:rsid w:val="00D761CA"/>
    <w:rsid w:val="00D976CE"/>
    <w:rsid w:val="00DE4320"/>
    <w:rsid w:val="00DF0A44"/>
    <w:rsid w:val="00DF366E"/>
    <w:rsid w:val="00E16C35"/>
    <w:rsid w:val="00E31340"/>
    <w:rsid w:val="00E44821"/>
    <w:rsid w:val="00E92C2D"/>
    <w:rsid w:val="00EA203D"/>
    <w:rsid w:val="00EA6F0F"/>
    <w:rsid w:val="00EC64CB"/>
    <w:rsid w:val="00EC71AE"/>
    <w:rsid w:val="00F1300A"/>
    <w:rsid w:val="04E23240"/>
    <w:rsid w:val="08941356"/>
    <w:rsid w:val="0B883D21"/>
    <w:rsid w:val="0D0A2974"/>
    <w:rsid w:val="108A1211"/>
    <w:rsid w:val="11584904"/>
    <w:rsid w:val="15452C1B"/>
    <w:rsid w:val="18887C75"/>
    <w:rsid w:val="19203904"/>
    <w:rsid w:val="1C237148"/>
    <w:rsid w:val="1F0D7201"/>
    <w:rsid w:val="1FE41692"/>
    <w:rsid w:val="229609B0"/>
    <w:rsid w:val="27C31990"/>
    <w:rsid w:val="2A264291"/>
    <w:rsid w:val="2AFB391C"/>
    <w:rsid w:val="2D944E6F"/>
    <w:rsid w:val="30BE4E7C"/>
    <w:rsid w:val="310D1B22"/>
    <w:rsid w:val="317D0338"/>
    <w:rsid w:val="35E8190D"/>
    <w:rsid w:val="36A67330"/>
    <w:rsid w:val="3BC77499"/>
    <w:rsid w:val="3FE36BB6"/>
    <w:rsid w:val="427E5E78"/>
    <w:rsid w:val="43630002"/>
    <w:rsid w:val="4C364232"/>
    <w:rsid w:val="50D069F5"/>
    <w:rsid w:val="524C286E"/>
    <w:rsid w:val="53A10A14"/>
    <w:rsid w:val="558D327E"/>
    <w:rsid w:val="598255E2"/>
    <w:rsid w:val="5CD54669"/>
    <w:rsid w:val="5DF52C04"/>
    <w:rsid w:val="639B3BE8"/>
    <w:rsid w:val="649E7790"/>
    <w:rsid w:val="6506111D"/>
    <w:rsid w:val="693475CD"/>
    <w:rsid w:val="6A3452D6"/>
    <w:rsid w:val="6BDD12AE"/>
    <w:rsid w:val="6D9A5011"/>
    <w:rsid w:val="71B40CB5"/>
    <w:rsid w:val="730205B7"/>
    <w:rsid w:val="75126675"/>
    <w:rsid w:val="75AD5EC5"/>
    <w:rsid w:val="75E50C7B"/>
    <w:rsid w:val="7AF94B9A"/>
    <w:rsid w:val="7F66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apple-converted-space"/>
    <w:basedOn w:val="8"/>
    <w:qFormat/>
    <w:uiPriority w:val="0"/>
  </w:style>
  <w:style w:type="character" w:customStyle="1" w:styleId="11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14</Pages>
  <Words>428</Words>
  <Characters>2441</Characters>
  <Lines>20</Lines>
  <Paragraphs>5</Paragraphs>
  <TotalTime>5</TotalTime>
  <ScaleCrop>false</ScaleCrop>
  <LinksUpToDate>false</LinksUpToDate>
  <CharactersWithSpaces>2864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2019-10-11T07:47:00Z</dcterms:created>
  <dc:creator>Administrator</dc:creator>
  <cp:lastModifiedBy>新鲜人</cp:lastModifiedBy>
  <dcterms:modified xsi:type="dcterms:W3CDTF">2019-11-22T06:32:59Z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